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EC1" w:rsidRPr="00D14EC1" w:rsidRDefault="00E2394C" w:rsidP="00D14EC1">
      <w:pPr>
        <w:pStyle w:val="a7"/>
        <w:spacing w:line="600" w:lineRule="exact"/>
        <w:jc w:val="center"/>
        <w:rPr>
          <w:rFonts w:ascii="微软雅黑" w:eastAsia="微软雅黑" w:hAnsi="微软雅黑" w:cs="宋体"/>
          <w:b/>
          <w:bCs/>
          <w:color w:val="7030A0"/>
          <w:sz w:val="40"/>
          <w:szCs w:val="40"/>
        </w:rPr>
      </w:pPr>
      <w:r w:rsidRPr="00D14EC1">
        <w:rPr>
          <w:rFonts w:ascii="微软雅黑" w:eastAsia="微软雅黑" w:hAnsi="微软雅黑" w:cs="宋体" w:hint="eastAsia"/>
          <w:b/>
          <w:bCs/>
          <w:color w:val="7030A0"/>
          <w:sz w:val="40"/>
          <w:szCs w:val="40"/>
        </w:rPr>
        <w:t>最高人民法院关于适用</w:t>
      </w:r>
    </w:p>
    <w:p w:rsidR="00E2394C" w:rsidRPr="00D14EC1" w:rsidRDefault="00E2394C" w:rsidP="00D14EC1">
      <w:pPr>
        <w:pStyle w:val="a7"/>
        <w:spacing w:line="600" w:lineRule="exact"/>
        <w:jc w:val="center"/>
        <w:rPr>
          <w:rFonts w:ascii="微软雅黑" w:eastAsia="微软雅黑" w:hAnsi="微软雅黑" w:cs="宋体"/>
          <w:b/>
          <w:bCs/>
          <w:color w:val="7030A0"/>
          <w:sz w:val="40"/>
          <w:szCs w:val="40"/>
        </w:rPr>
      </w:pPr>
      <w:r w:rsidRPr="00D14EC1">
        <w:rPr>
          <w:rFonts w:ascii="微软雅黑" w:eastAsia="微软雅黑" w:hAnsi="微软雅黑" w:cs="宋体" w:hint="eastAsia"/>
          <w:b/>
          <w:bCs/>
          <w:color w:val="7030A0"/>
          <w:sz w:val="40"/>
          <w:szCs w:val="40"/>
        </w:rPr>
        <w:t>《中华人民共和国公司法》若干问题的规定（五）</w:t>
      </w:r>
    </w:p>
    <w:p w:rsidR="00D14EC1" w:rsidRDefault="00D14EC1" w:rsidP="00D14EC1">
      <w:pPr>
        <w:pStyle w:val="a7"/>
        <w:spacing w:line="240" w:lineRule="exact"/>
        <w:jc w:val="center"/>
        <w:rPr>
          <w:rFonts w:ascii="微软雅黑" w:eastAsia="微软雅黑" w:hAnsi="微软雅黑" w:cs="宋体"/>
          <w:sz w:val="22"/>
          <w:szCs w:val="22"/>
        </w:rPr>
      </w:pPr>
    </w:p>
    <w:p w:rsidR="00D14EC1" w:rsidRDefault="00D14EC1" w:rsidP="00D14EC1">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D14EC1" w:rsidRDefault="00D14EC1" w:rsidP="00D14EC1">
      <w:pPr>
        <w:pStyle w:val="a7"/>
        <w:spacing w:line="240" w:lineRule="exact"/>
        <w:jc w:val="center"/>
        <w:rPr>
          <w:rFonts w:ascii="微软雅黑" w:eastAsia="微软雅黑" w:hAnsi="微软雅黑" w:cs="宋体"/>
          <w:sz w:val="22"/>
          <w:szCs w:val="22"/>
        </w:rPr>
      </w:pPr>
    </w:p>
    <w:p w:rsidR="00CC0A6D" w:rsidRDefault="00CC0A6D" w:rsidP="00D14EC1">
      <w:pPr>
        <w:pStyle w:val="a7"/>
        <w:spacing w:line="240" w:lineRule="exact"/>
        <w:jc w:val="center"/>
        <w:rPr>
          <w:rFonts w:ascii="微软雅黑" w:eastAsia="微软雅黑" w:hAnsi="微软雅黑" w:cs="宋体"/>
          <w:sz w:val="22"/>
          <w:szCs w:val="22"/>
        </w:rPr>
      </w:pPr>
      <w:r w:rsidRPr="00CC0A6D">
        <w:rPr>
          <w:rFonts w:ascii="微软雅黑" w:eastAsia="微软雅黑" w:hAnsi="微软雅黑" w:cs="宋体" w:hint="eastAsia"/>
          <w:sz w:val="22"/>
          <w:szCs w:val="22"/>
        </w:rPr>
        <w:t>法释〔2020〕18号 - 0</w:t>
      </w:r>
      <w:r>
        <w:rPr>
          <w:rFonts w:ascii="微软雅黑" w:eastAsia="微软雅黑" w:hAnsi="微软雅黑" w:cs="宋体" w:hint="eastAsia"/>
          <w:sz w:val="22"/>
          <w:szCs w:val="22"/>
        </w:rPr>
        <w:t>9</w:t>
      </w:r>
      <w:bookmarkStart w:id="0" w:name="_GoBack"/>
      <w:bookmarkEnd w:id="0"/>
    </w:p>
    <w:p w:rsidR="00CC0A6D" w:rsidRPr="00CC0A6D" w:rsidRDefault="00CC0A6D" w:rsidP="00D14EC1">
      <w:pPr>
        <w:pStyle w:val="a7"/>
        <w:spacing w:line="240" w:lineRule="exact"/>
        <w:jc w:val="center"/>
        <w:rPr>
          <w:rFonts w:ascii="微软雅黑" w:eastAsia="微软雅黑" w:hAnsi="微软雅黑" w:cs="宋体" w:hint="eastAsia"/>
          <w:sz w:val="22"/>
          <w:szCs w:val="22"/>
        </w:rPr>
      </w:pPr>
    </w:p>
    <w:p w:rsidR="00E2394C" w:rsidRPr="00D14EC1" w:rsidRDefault="00E2394C" w:rsidP="00D14EC1">
      <w:pPr>
        <w:pStyle w:val="a7"/>
        <w:spacing w:line="240" w:lineRule="exact"/>
        <w:ind w:leftChars="200" w:left="420" w:rightChars="200" w:right="420" w:firstLineChars="200" w:firstLine="420"/>
        <w:jc w:val="left"/>
        <w:rPr>
          <w:rFonts w:ascii="微软雅黑" w:eastAsia="微软雅黑" w:hAnsi="微软雅黑" w:cs="宋体"/>
        </w:rPr>
      </w:pPr>
      <w:r w:rsidRPr="00D14EC1">
        <w:rPr>
          <w:rFonts w:ascii="微软雅黑" w:eastAsia="微软雅黑" w:hAnsi="微软雅黑" w:cs="宋体" w:hint="eastAsia"/>
        </w:rPr>
        <w:t>（2019年4月22日最高人民法院审判委员会第1766次会议审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E2394C" w:rsidRPr="00D14EC1" w:rsidRDefault="00E2394C" w:rsidP="00D14EC1">
      <w:pPr>
        <w:pStyle w:val="a7"/>
        <w:spacing w:line="360" w:lineRule="exact"/>
        <w:rPr>
          <w:rFonts w:ascii="微软雅黑" w:eastAsia="微软雅黑" w:hAnsi="微软雅黑" w:cs="宋体"/>
          <w:sz w:val="24"/>
          <w:szCs w:val="24"/>
        </w:rPr>
      </w:pPr>
    </w:p>
    <w:p w:rsidR="00E2394C" w:rsidRPr="00D14EC1" w:rsidRDefault="00E2394C" w:rsidP="00D14EC1">
      <w:pPr>
        <w:pStyle w:val="a7"/>
        <w:spacing w:line="360" w:lineRule="exact"/>
        <w:ind w:firstLineChars="200" w:firstLine="480"/>
        <w:rPr>
          <w:rFonts w:ascii="微软雅黑" w:eastAsia="微软雅黑" w:hAnsi="微软雅黑" w:cs="宋体"/>
          <w:sz w:val="24"/>
          <w:szCs w:val="24"/>
        </w:rPr>
      </w:pPr>
      <w:r w:rsidRPr="00D14EC1">
        <w:rPr>
          <w:rFonts w:ascii="微软雅黑" w:eastAsia="微软雅黑" w:hAnsi="微软雅黑" w:cs="宋体" w:hint="eastAsia"/>
          <w:sz w:val="24"/>
          <w:szCs w:val="24"/>
        </w:rPr>
        <w:t>为正确适用《中华人民共和国公司法》，结合人民法院审判实践，就股东权益保护等纠纷案件适用法律问题</w:t>
      </w:r>
      <w:proofErr w:type="gramStart"/>
      <w:r w:rsidRPr="00D14EC1">
        <w:rPr>
          <w:rFonts w:ascii="微软雅黑" w:eastAsia="微软雅黑" w:hAnsi="微软雅黑" w:cs="宋体" w:hint="eastAsia"/>
          <w:sz w:val="24"/>
          <w:szCs w:val="24"/>
        </w:rPr>
        <w:t>作出</w:t>
      </w:r>
      <w:proofErr w:type="gramEnd"/>
      <w:r w:rsidRPr="00D14EC1">
        <w:rPr>
          <w:rFonts w:ascii="微软雅黑" w:eastAsia="微软雅黑" w:hAnsi="微软雅黑" w:cs="宋体" w:hint="eastAsia"/>
          <w:sz w:val="24"/>
          <w:szCs w:val="24"/>
        </w:rPr>
        <w:t>如下规定。</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w:t>
      </w:r>
      <w:r w:rsidRPr="00D14EC1">
        <w:rPr>
          <w:rFonts w:ascii="微软雅黑" w:eastAsia="微软雅黑" w:hAnsi="微软雅黑" w:cs="宋体" w:hint="eastAsia"/>
          <w:b/>
          <w:bCs/>
          <w:sz w:val="24"/>
          <w:szCs w:val="24"/>
        </w:rPr>
        <w:t>第一条</w:t>
      </w:r>
      <w:r w:rsidRPr="00D14EC1">
        <w:rPr>
          <w:rFonts w:ascii="微软雅黑" w:eastAsia="微软雅黑" w:hAnsi="微软雅黑" w:cs="宋体" w:hint="eastAsia"/>
          <w:sz w:val="24"/>
          <w:szCs w:val="24"/>
        </w:rPr>
        <w:t xml:space="preserve">　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公司没有提起诉讼的，符合公司法第一百五十一条第一款规定条件的股东，可以依据公司法第一百五十一条第二款、第三款规定向人民法院提起诉讼。</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w:t>
      </w:r>
      <w:r w:rsidRPr="00D14EC1">
        <w:rPr>
          <w:rFonts w:ascii="微软雅黑" w:eastAsia="微软雅黑" w:hAnsi="微软雅黑" w:cs="宋体" w:hint="eastAsia"/>
          <w:b/>
          <w:bCs/>
          <w:sz w:val="24"/>
          <w:szCs w:val="24"/>
        </w:rPr>
        <w:t>第二条</w:t>
      </w:r>
      <w:r w:rsidRPr="00D14EC1">
        <w:rPr>
          <w:rFonts w:ascii="微软雅黑" w:eastAsia="微软雅黑" w:hAnsi="微软雅黑" w:cs="宋体" w:hint="eastAsia"/>
          <w:sz w:val="24"/>
          <w:szCs w:val="24"/>
        </w:rPr>
        <w:t xml:space="preserve">　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w:t>
      </w:r>
      <w:r w:rsidRPr="00D14EC1">
        <w:rPr>
          <w:rFonts w:ascii="微软雅黑" w:eastAsia="微软雅黑" w:hAnsi="微软雅黑" w:cs="宋体" w:hint="eastAsia"/>
          <w:b/>
          <w:bCs/>
          <w:sz w:val="24"/>
          <w:szCs w:val="24"/>
        </w:rPr>
        <w:t>第三条</w:t>
      </w:r>
      <w:r w:rsidRPr="00D14EC1">
        <w:rPr>
          <w:rFonts w:ascii="微软雅黑" w:eastAsia="微软雅黑" w:hAnsi="微软雅黑" w:cs="宋体" w:hint="eastAsia"/>
          <w:sz w:val="24"/>
          <w:szCs w:val="24"/>
        </w:rPr>
        <w:t xml:space="preserve">　董事任期届满前被股东会或者股东大会有效决议解除职务，其主张解除不发生法律效力的，人民法院不予支持。</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董事职务被解除后，因补偿与公司发生纠纷提起诉讼的，人民法院应当依据法律、行政法规、公司章程的规定或者合同的约定，综合考虑解除的原因、剩余任期、董事薪酬等因素，确定是否补偿以及补偿的合理数额。</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w:t>
      </w:r>
      <w:r w:rsidRPr="00D14EC1">
        <w:rPr>
          <w:rFonts w:ascii="微软雅黑" w:eastAsia="微软雅黑" w:hAnsi="微软雅黑" w:cs="宋体" w:hint="eastAsia"/>
          <w:b/>
          <w:bCs/>
          <w:sz w:val="24"/>
          <w:szCs w:val="24"/>
        </w:rPr>
        <w:t>第四条</w:t>
      </w:r>
      <w:r w:rsidRPr="00D14EC1">
        <w:rPr>
          <w:rFonts w:ascii="微软雅黑" w:eastAsia="微软雅黑" w:hAnsi="微软雅黑" w:cs="宋体" w:hint="eastAsia"/>
          <w:sz w:val="24"/>
          <w:szCs w:val="24"/>
        </w:rPr>
        <w:t xml:space="preserve">　分配利润的股东会或者股东大会决议</w:t>
      </w:r>
      <w:proofErr w:type="gramStart"/>
      <w:r w:rsidRPr="00D14EC1">
        <w:rPr>
          <w:rFonts w:ascii="微软雅黑" w:eastAsia="微软雅黑" w:hAnsi="微软雅黑" w:cs="宋体" w:hint="eastAsia"/>
          <w:sz w:val="24"/>
          <w:szCs w:val="24"/>
        </w:rPr>
        <w:t>作出</w:t>
      </w:r>
      <w:proofErr w:type="gramEnd"/>
      <w:r w:rsidRPr="00D14EC1">
        <w:rPr>
          <w:rFonts w:ascii="微软雅黑" w:eastAsia="微软雅黑" w:hAnsi="微软雅黑" w:cs="宋体" w:hint="eastAsia"/>
          <w:sz w:val="24"/>
          <w:szCs w:val="24"/>
        </w:rPr>
        <w:t>后，公司应当在决议载明的时间内完成利润分配。决议没有载明时间的，以公司章程规定的为准。决议、章程中均未规定时间或者时间超过一年的，公司应当自决议</w:t>
      </w:r>
      <w:proofErr w:type="gramStart"/>
      <w:r w:rsidRPr="00D14EC1">
        <w:rPr>
          <w:rFonts w:ascii="微软雅黑" w:eastAsia="微软雅黑" w:hAnsi="微软雅黑" w:cs="宋体" w:hint="eastAsia"/>
          <w:sz w:val="24"/>
          <w:szCs w:val="24"/>
        </w:rPr>
        <w:t>作出</w:t>
      </w:r>
      <w:proofErr w:type="gramEnd"/>
      <w:r w:rsidRPr="00D14EC1">
        <w:rPr>
          <w:rFonts w:ascii="微软雅黑" w:eastAsia="微软雅黑" w:hAnsi="微软雅黑" w:cs="宋体" w:hint="eastAsia"/>
          <w:sz w:val="24"/>
          <w:szCs w:val="24"/>
        </w:rPr>
        <w:t>之日起一年内完成利润分配。</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决议中载明的利润分配完成时间超过公司章程规定时间的，股东可以依据民法典第八十五条、公司法第二十二条第二款规定请求人民法院撤销决议中关于该时间的规定。</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w:t>
      </w:r>
      <w:r w:rsidRPr="00D14EC1">
        <w:rPr>
          <w:rFonts w:ascii="微软雅黑" w:eastAsia="微软雅黑" w:hAnsi="微软雅黑" w:cs="宋体" w:hint="eastAsia"/>
          <w:b/>
          <w:bCs/>
          <w:sz w:val="24"/>
          <w:szCs w:val="24"/>
        </w:rPr>
        <w:t>第五条</w:t>
      </w:r>
      <w:r w:rsidRPr="00D14EC1">
        <w:rPr>
          <w:rFonts w:ascii="微软雅黑" w:eastAsia="微软雅黑" w:hAnsi="微软雅黑" w:cs="宋体" w:hint="eastAsia"/>
          <w:sz w:val="24"/>
          <w:szCs w:val="24"/>
        </w:rPr>
        <w:t xml:space="preserve">　人民法院审理涉及有限责任公司股东重大分歧案件时，应当注重调解。当事人协商一致以下列方式解决分歧，且不违反法律、行政法规的强制性规定的，人民法院应</w:t>
      </w:r>
      <w:proofErr w:type="gramStart"/>
      <w:r w:rsidRPr="00D14EC1">
        <w:rPr>
          <w:rFonts w:ascii="微软雅黑" w:eastAsia="微软雅黑" w:hAnsi="微软雅黑" w:cs="宋体" w:hint="eastAsia"/>
          <w:sz w:val="24"/>
          <w:szCs w:val="24"/>
        </w:rPr>
        <w:t>予支</w:t>
      </w:r>
      <w:proofErr w:type="gramEnd"/>
      <w:r w:rsidRPr="00D14EC1">
        <w:rPr>
          <w:rFonts w:ascii="微软雅黑" w:eastAsia="微软雅黑" w:hAnsi="微软雅黑" w:cs="宋体" w:hint="eastAsia"/>
          <w:sz w:val="24"/>
          <w:szCs w:val="24"/>
        </w:rPr>
        <w:t>持：</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（一）公司回购部分股东股份；</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（二）其他股东受让部分股东股份；</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（三）他人受让部分股东股份；</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（四）公司减资；</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（五）公司分立；</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（六）其他能够解决分歧，恢复公司正常经营，避免公司解散的方式。</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w:t>
      </w:r>
      <w:r w:rsidRPr="00D14EC1">
        <w:rPr>
          <w:rFonts w:ascii="微软雅黑" w:eastAsia="微软雅黑" w:hAnsi="微软雅黑" w:cs="宋体" w:hint="eastAsia"/>
          <w:b/>
          <w:bCs/>
          <w:sz w:val="24"/>
          <w:szCs w:val="24"/>
        </w:rPr>
        <w:t>第六条</w:t>
      </w:r>
      <w:r w:rsidRPr="00D14EC1">
        <w:rPr>
          <w:rFonts w:ascii="微软雅黑" w:eastAsia="微软雅黑" w:hAnsi="微软雅黑" w:cs="宋体" w:hint="eastAsia"/>
          <w:sz w:val="24"/>
          <w:szCs w:val="24"/>
        </w:rPr>
        <w:t xml:space="preserve">　本规定自2019年4月29日起施行。</w:t>
      </w:r>
    </w:p>
    <w:p w:rsidR="00E2394C"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本规定施行后尚未终审的案件，适用本规定；本规定施行前已经终审的案件，或者适用审判监督程序再审的案件，不适用本规定。</w:t>
      </w:r>
    </w:p>
    <w:p w:rsidR="00942A9B" w:rsidRPr="00D14EC1" w:rsidRDefault="00E2394C" w:rsidP="00D14EC1">
      <w:pPr>
        <w:pStyle w:val="a7"/>
        <w:spacing w:line="360" w:lineRule="exact"/>
        <w:rPr>
          <w:rFonts w:ascii="微软雅黑" w:eastAsia="微软雅黑" w:hAnsi="微软雅黑" w:cs="宋体"/>
          <w:sz w:val="24"/>
          <w:szCs w:val="24"/>
        </w:rPr>
      </w:pPr>
      <w:r w:rsidRPr="00D14EC1">
        <w:rPr>
          <w:rFonts w:ascii="微软雅黑" w:eastAsia="微软雅黑" w:hAnsi="微软雅黑" w:cs="宋体" w:hint="eastAsia"/>
          <w:sz w:val="24"/>
          <w:szCs w:val="24"/>
        </w:rPr>
        <w:t xml:space="preserve">　　本院以前发布的司法解释与本规定不一致的，以本规定为准。</w:t>
      </w:r>
    </w:p>
    <w:sectPr w:rsidR="00942A9B" w:rsidRPr="00D14EC1" w:rsidSect="00D14EC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8FA" w:rsidRDefault="002728FA" w:rsidP="00E2394C">
      <w:r>
        <w:separator/>
      </w:r>
    </w:p>
  </w:endnote>
  <w:endnote w:type="continuationSeparator" w:id="0">
    <w:p w:rsidR="002728FA" w:rsidRDefault="002728FA" w:rsidP="00E2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8FA" w:rsidRDefault="002728FA" w:rsidP="00E2394C">
      <w:r>
        <w:separator/>
      </w:r>
    </w:p>
  </w:footnote>
  <w:footnote w:type="continuationSeparator" w:id="0">
    <w:p w:rsidR="002728FA" w:rsidRDefault="002728FA" w:rsidP="00E23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394C"/>
    <w:rsid w:val="002728FA"/>
    <w:rsid w:val="00376146"/>
    <w:rsid w:val="00942A9B"/>
    <w:rsid w:val="00CC0A6D"/>
    <w:rsid w:val="00D14EC1"/>
    <w:rsid w:val="00E2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40D4"/>
  <w15:docId w15:val="{C1191B03-0F74-4BDC-B376-B2FC013C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39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2394C"/>
    <w:rPr>
      <w:sz w:val="18"/>
      <w:szCs w:val="18"/>
    </w:rPr>
  </w:style>
  <w:style w:type="paragraph" w:styleId="a5">
    <w:name w:val="footer"/>
    <w:basedOn w:val="a"/>
    <w:link w:val="a6"/>
    <w:uiPriority w:val="99"/>
    <w:semiHidden/>
    <w:unhideWhenUsed/>
    <w:rsid w:val="00E2394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2394C"/>
    <w:rPr>
      <w:sz w:val="18"/>
      <w:szCs w:val="18"/>
    </w:rPr>
  </w:style>
  <w:style w:type="paragraph" w:styleId="a7">
    <w:name w:val="Plain Text"/>
    <w:basedOn w:val="a"/>
    <w:link w:val="a8"/>
    <w:uiPriority w:val="99"/>
    <w:rsid w:val="00E2394C"/>
    <w:rPr>
      <w:rFonts w:ascii="宋体" w:eastAsia="宋体" w:hAnsi="Courier New" w:cs="Courier New"/>
      <w:szCs w:val="21"/>
    </w:rPr>
  </w:style>
  <w:style w:type="character" w:customStyle="1" w:styleId="a8">
    <w:name w:val="纯文本 字符"/>
    <w:basedOn w:val="a0"/>
    <w:link w:val="a7"/>
    <w:uiPriority w:val="99"/>
    <w:rsid w:val="00E2394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2021-04-01T01:49:00Z</dcterms:created>
  <dcterms:modified xsi:type="dcterms:W3CDTF">2025-09-15T03:51:00Z</dcterms:modified>
</cp:coreProperties>
</file>